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9F2" w:rsidRDefault="006772A7">
      <w:pPr>
        <w:jc w:val="center"/>
        <w:rPr>
          <w:b/>
          <w:bCs/>
          <w:sz w:val="44"/>
          <w:szCs w:val="44"/>
        </w:rPr>
      </w:pPr>
      <w:bookmarkStart w:id="0" w:name="_GoBack"/>
      <w:r>
        <w:rPr>
          <w:rFonts w:hint="eastAsia"/>
          <w:b/>
          <w:bCs/>
          <w:sz w:val="44"/>
          <w:szCs w:val="44"/>
        </w:rPr>
        <w:t>起草说明</w:t>
      </w:r>
      <w:bookmarkEnd w:id="0"/>
    </w:p>
    <w:p w:rsidR="000979F2" w:rsidRDefault="000979F2"/>
    <w:p w:rsidR="007E2EFA" w:rsidRDefault="007E2EFA">
      <w:pPr>
        <w:ind w:firstLineChars="200" w:firstLine="643"/>
        <w:rPr>
          <w:rFonts w:hint="eastAsia"/>
          <w:b/>
          <w:bCs/>
          <w:sz w:val="32"/>
          <w:szCs w:val="32"/>
        </w:rPr>
      </w:pPr>
    </w:p>
    <w:p w:rsidR="000979F2" w:rsidRDefault="006772A7">
      <w:pPr>
        <w:ind w:firstLineChars="200" w:firstLine="643"/>
      </w:pPr>
      <w:r>
        <w:rPr>
          <w:rFonts w:hint="eastAsia"/>
          <w:b/>
          <w:bCs/>
          <w:sz w:val="32"/>
          <w:szCs w:val="32"/>
        </w:rPr>
        <w:t>一、起草背景和依据</w:t>
      </w:r>
    </w:p>
    <w:p w:rsidR="000979F2" w:rsidRDefault="006772A7">
      <w:pPr>
        <w:ind w:firstLineChars="200" w:firstLine="640"/>
        <w:rPr>
          <w:color w:val="000000" w:themeColor="text1"/>
        </w:rPr>
      </w:pPr>
      <w:r>
        <w:rPr>
          <w:rFonts w:hint="eastAsia"/>
          <w:color w:val="000000" w:themeColor="text1"/>
          <w:sz w:val="32"/>
          <w:szCs w:val="32"/>
        </w:rPr>
        <w:t>为规范国有土地上房屋征收与补偿工作程序，贯彻落实县委县政府关于基础设施、公共设施建设以及城镇棚户区改造工作项目房屋征收工作的总体要求和部署，有力推动城镇更新，促进全县经济快速、稳定发展，保障被征收房屋所有权人的合法权益。制定依据：《中华人民共和国土地管理法》《中华人民共和国物权法》《国有土地上房屋征收与补偿条例》《国有土地上房屋征收评估办法》。</w:t>
      </w:r>
    </w:p>
    <w:p w:rsidR="000979F2" w:rsidRDefault="006772A7">
      <w:pPr>
        <w:ind w:firstLineChars="200" w:firstLine="643"/>
      </w:pPr>
      <w:r>
        <w:rPr>
          <w:rFonts w:hint="eastAsia"/>
          <w:b/>
          <w:bCs/>
          <w:sz w:val="32"/>
          <w:szCs w:val="32"/>
        </w:rPr>
        <w:t>二、起草过程</w:t>
      </w:r>
    </w:p>
    <w:p w:rsidR="000979F2" w:rsidRDefault="006772A7" w:rsidP="007E2EFA">
      <w:pPr>
        <w:ind w:firstLineChars="200" w:firstLine="640"/>
      </w:pPr>
      <w:r>
        <w:rPr>
          <w:rFonts w:hint="eastAsia"/>
          <w:sz w:val="32"/>
          <w:szCs w:val="32"/>
        </w:rPr>
        <w:t>在起草过程中，认真贯彻了相关文件精神，充分结合了我县实际情况。</w:t>
      </w:r>
      <w:r>
        <w:rPr>
          <w:rFonts w:hint="eastAsia"/>
          <w:sz w:val="32"/>
          <w:szCs w:val="32"/>
        </w:rPr>
        <w:t>202</w:t>
      </w:r>
      <w:r>
        <w:rPr>
          <w:rFonts w:hint="eastAsia"/>
          <w:sz w:val="32"/>
          <w:szCs w:val="32"/>
        </w:rPr>
        <w:t>4</w:t>
      </w:r>
      <w:r>
        <w:rPr>
          <w:rFonts w:hint="eastAsia"/>
          <w:sz w:val="32"/>
          <w:szCs w:val="32"/>
        </w:rPr>
        <w:t>年</w:t>
      </w:r>
      <w:r w:rsidR="007E2EFA">
        <w:rPr>
          <w:rFonts w:hint="eastAsia"/>
          <w:sz w:val="32"/>
          <w:szCs w:val="32"/>
        </w:rPr>
        <w:t>5</w:t>
      </w:r>
      <w:r>
        <w:rPr>
          <w:rFonts w:hint="eastAsia"/>
          <w:sz w:val="32"/>
          <w:szCs w:val="32"/>
        </w:rPr>
        <w:t>月</w:t>
      </w:r>
      <w:r>
        <w:rPr>
          <w:rFonts w:hint="eastAsia"/>
          <w:sz w:val="32"/>
          <w:szCs w:val="32"/>
        </w:rPr>
        <w:t>26</w:t>
      </w:r>
      <w:r>
        <w:rPr>
          <w:rFonts w:hint="eastAsia"/>
          <w:sz w:val="32"/>
          <w:szCs w:val="32"/>
        </w:rPr>
        <w:t>日征求县委办、县政府办、县纪委监委、县组织部、县宣传部、县委政法委、县检察院、县法院、县司法局、县住建局、县市场监管局、县自然资源和规划局、县公安局、县卫健委、县税务局、县财政局、县发改委、县城管局、县民政局、县审计局、县文旅局、县生态环境分局、县信访局、县房产管理服务中心、县不动产登记中心、龙城镇、凤城街道、龙河街道、锦屏街道</w:t>
      </w:r>
      <w:r>
        <w:rPr>
          <w:rFonts w:hint="eastAsia"/>
          <w:sz w:val="32"/>
          <w:szCs w:val="32"/>
        </w:rPr>
        <w:t>29</w:t>
      </w:r>
      <w:r>
        <w:rPr>
          <w:rFonts w:hint="eastAsia"/>
          <w:sz w:val="32"/>
          <w:szCs w:val="32"/>
        </w:rPr>
        <w:t>家单位的意见。经过反复修改完善，形成了</w:t>
      </w:r>
      <w:r w:rsidR="007E2EFA">
        <w:rPr>
          <w:rFonts w:hint="eastAsia"/>
          <w:sz w:val="32"/>
          <w:szCs w:val="32"/>
        </w:rPr>
        <w:t>草案</w:t>
      </w:r>
      <w:r>
        <w:rPr>
          <w:rFonts w:hint="eastAsia"/>
          <w:sz w:val="32"/>
          <w:szCs w:val="32"/>
        </w:rPr>
        <w:t>。</w:t>
      </w:r>
    </w:p>
    <w:p w:rsidR="000979F2" w:rsidRDefault="006772A7">
      <w:pPr>
        <w:ind w:firstLineChars="200" w:firstLine="643"/>
        <w:rPr>
          <w:b/>
          <w:bCs/>
          <w:sz w:val="32"/>
          <w:szCs w:val="32"/>
        </w:rPr>
      </w:pPr>
      <w:r>
        <w:rPr>
          <w:rFonts w:hint="eastAsia"/>
          <w:b/>
          <w:bCs/>
          <w:sz w:val="32"/>
          <w:szCs w:val="32"/>
        </w:rPr>
        <w:t>三、主要内容</w:t>
      </w:r>
    </w:p>
    <w:p w:rsidR="000979F2" w:rsidRDefault="007E2EFA">
      <w:pPr>
        <w:ind w:firstLineChars="200" w:firstLine="640"/>
        <w:rPr>
          <w:sz w:val="32"/>
          <w:szCs w:val="32"/>
        </w:rPr>
      </w:pPr>
      <w:r>
        <w:rPr>
          <w:rFonts w:hint="eastAsia"/>
          <w:sz w:val="32"/>
          <w:szCs w:val="32"/>
        </w:rPr>
        <w:t>草案</w:t>
      </w:r>
      <w:r w:rsidR="006772A7">
        <w:rPr>
          <w:rFonts w:hint="eastAsia"/>
          <w:sz w:val="32"/>
          <w:szCs w:val="32"/>
        </w:rPr>
        <w:t>《房屋征收安置补偿实施细则》</w:t>
      </w:r>
      <w:r>
        <w:rPr>
          <w:rFonts w:hint="eastAsia"/>
          <w:sz w:val="32"/>
          <w:szCs w:val="32"/>
        </w:rPr>
        <w:t>、</w:t>
      </w:r>
      <w:r w:rsidR="006772A7">
        <w:rPr>
          <w:rFonts w:hint="eastAsia"/>
          <w:sz w:val="32"/>
          <w:szCs w:val="32"/>
        </w:rPr>
        <w:t>《房屋征收补偿</w:t>
      </w:r>
      <w:r w:rsidR="006772A7">
        <w:rPr>
          <w:rFonts w:hint="eastAsia"/>
          <w:sz w:val="32"/>
          <w:szCs w:val="32"/>
        </w:rPr>
        <w:lastRenderedPageBreak/>
        <w:t>安置流程》从严格规范房屋征收申请及公共利益审查，依法委托征收实施单位，按规定暂停办理相关手续，依法开展未登记建筑调查，认定和处理、严格规范入户调查登记及结果公开，严格规范征收补偿方案论证及公示征求公众意见工作，严格规范社会稳定风险评估，严格规范启动征收合法性审查，严格规范征收评估工作，严格规范征收补偿协议签订工作，切实加强房屋拆除施工管理，严格规范资金拨付</w:t>
      </w:r>
      <w:r w:rsidR="006772A7">
        <w:rPr>
          <w:rFonts w:hint="eastAsia"/>
          <w:sz w:val="32"/>
          <w:szCs w:val="32"/>
        </w:rPr>
        <w:t>，严格规范强制执行申报，严格规范征收补偿信息公开，严格规范回迁安置工作，严格规范征收补偿建档工作，严格管理征收工作人员，切实提升依法履职水平等方面，对国有土地上房屋征收工作程序及安置房分配流程进行了规范，切实做到依法征收、和谐征收、阳光征收。</w:t>
      </w:r>
    </w:p>
    <w:p w:rsidR="000979F2" w:rsidRDefault="006772A7">
      <w:pPr>
        <w:ind w:firstLineChars="200" w:firstLine="643"/>
        <w:rPr>
          <w:b/>
          <w:bCs/>
          <w:sz w:val="32"/>
          <w:szCs w:val="32"/>
        </w:rPr>
      </w:pPr>
      <w:r>
        <w:rPr>
          <w:rFonts w:hint="eastAsia"/>
          <w:b/>
          <w:bCs/>
          <w:sz w:val="32"/>
          <w:szCs w:val="32"/>
        </w:rPr>
        <w:t>（一）新增内容</w:t>
      </w:r>
    </w:p>
    <w:p w:rsidR="000979F2" w:rsidRDefault="006772A7">
      <w:pPr>
        <w:ind w:firstLineChars="200" w:firstLine="640"/>
        <w:rPr>
          <w:sz w:val="32"/>
          <w:szCs w:val="32"/>
        </w:rPr>
      </w:pPr>
      <w:r>
        <w:rPr>
          <w:rFonts w:hint="eastAsia"/>
          <w:sz w:val="32"/>
          <w:szCs w:val="32"/>
        </w:rPr>
        <w:t>1</w:t>
      </w:r>
      <w:r>
        <w:rPr>
          <w:rFonts w:hint="eastAsia"/>
          <w:sz w:val="32"/>
          <w:szCs w:val="32"/>
        </w:rPr>
        <w:t>、</w:t>
      </w:r>
      <w:r>
        <w:rPr>
          <w:rFonts w:hint="eastAsia"/>
          <w:sz w:val="32"/>
          <w:szCs w:val="32"/>
        </w:rPr>
        <w:t> </w:t>
      </w:r>
      <w:r>
        <w:rPr>
          <w:rFonts w:hint="eastAsia"/>
          <w:sz w:val="32"/>
          <w:szCs w:val="32"/>
        </w:rPr>
        <w:t>附件一第十六条新增：被征收房屋无有效权属证明或有效建房批准手续，且</w:t>
      </w:r>
      <w:r>
        <w:rPr>
          <w:rFonts w:hint="eastAsia"/>
          <w:sz w:val="32"/>
          <w:szCs w:val="32"/>
        </w:rPr>
        <w:t>2008</w:t>
      </w:r>
      <w:r>
        <w:rPr>
          <w:rFonts w:hint="eastAsia"/>
          <w:sz w:val="32"/>
          <w:szCs w:val="32"/>
        </w:rPr>
        <w:t>年航拍图上无标注的房屋，但在</w:t>
      </w:r>
      <w:r>
        <w:rPr>
          <w:rFonts w:hint="eastAsia"/>
          <w:sz w:val="32"/>
          <w:szCs w:val="32"/>
        </w:rPr>
        <w:t>2013</w:t>
      </w:r>
      <w:r>
        <w:rPr>
          <w:rFonts w:hint="eastAsia"/>
          <w:sz w:val="32"/>
          <w:szCs w:val="32"/>
        </w:rPr>
        <w:t>年</w:t>
      </w:r>
      <w:r>
        <w:rPr>
          <w:rFonts w:hint="eastAsia"/>
          <w:sz w:val="32"/>
          <w:szCs w:val="32"/>
        </w:rPr>
        <w:t>2</w:t>
      </w:r>
      <w:r>
        <w:rPr>
          <w:rFonts w:hint="eastAsia"/>
          <w:sz w:val="32"/>
          <w:szCs w:val="32"/>
        </w:rPr>
        <w:t>月</w:t>
      </w:r>
      <w:r>
        <w:rPr>
          <w:rFonts w:hint="eastAsia"/>
          <w:sz w:val="32"/>
          <w:szCs w:val="32"/>
        </w:rPr>
        <w:t>19</w:t>
      </w:r>
      <w:r>
        <w:rPr>
          <w:rFonts w:hint="eastAsia"/>
          <w:sz w:val="32"/>
          <w:szCs w:val="32"/>
        </w:rPr>
        <w:t>日县政府《关于城市规划区内全面禁止个人建房的通告》发布之前建设的且符合三等砖木以上结构的房屋，在第一时段签约并按期腾出房屋的，</w:t>
      </w:r>
      <w:r>
        <w:rPr>
          <w:rFonts w:hint="eastAsia"/>
          <w:sz w:val="32"/>
          <w:szCs w:val="32"/>
        </w:rPr>
        <w:t>给予面积折算</w:t>
      </w:r>
      <w:r>
        <w:rPr>
          <w:rFonts w:hint="eastAsia"/>
          <w:sz w:val="32"/>
          <w:szCs w:val="32"/>
        </w:rPr>
        <w:t>50%</w:t>
      </w:r>
      <w:r>
        <w:rPr>
          <w:rFonts w:hint="eastAsia"/>
          <w:sz w:val="32"/>
          <w:szCs w:val="32"/>
        </w:rPr>
        <w:t>的奖励；上述时间以外经认定为违法违章建筑的，在本方案规定的签约期内签订补偿安置协议并搬迁完毕并腾空交房的，按照评估机构评估结果，结合实际丈量面积给予每平方米</w:t>
      </w:r>
      <w:r>
        <w:rPr>
          <w:rFonts w:hint="eastAsia"/>
          <w:sz w:val="32"/>
          <w:szCs w:val="32"/>
        </w:rPr>
        <w:t>100-300</w:t>
      </w:r>
      <w:r>
        <w:rPr>
          <w:rFonts w:hint="eastAsia"/>
          <w:sz w:val="32"/>
          <w:szCs w:val="32"/>
        </w:rPr>
        <w:t>元的拆除费用。</w:t>
      </w:r>
    </w:p>
    <w:p w:rsidR="000979F2" w:rsidRDefault="006772A7">
      <w:pPr>
        <w:ind w:firstLineChars="200" w:firstLine="640"/>
        <w:rPr>
          <w:sz w:val="32"/>
          <w:szCs w:val="32"/>
        </w:rPr>
      </w:pPr>
      <w:r>
        <w:rPr>
          <w:rFonts w:hint="eastAsia"/>
          <w:sz w:val="32"/>
          <w:szCs w:val="32"/>
        </w:rPr>
        <w:lastRenderedPageBreak/>
        <w:t>2</w:t>
      </w:r>
      <w:r>
        <w:rPr>
          <w:rFonts w:hint="eastAsia"/>
          <w:sz w:val="32"/>
          <w:szCs w:val="32"/>
        </w:rPr>
        <w:t>、附件一第二十六条</w:t>
      </w:r>
      <w:r>
        <w:rPr>
          <w:rFonts w:hint="eastAsia"/>
          <w:sz w:val="32"/>
          <w:szCs w:val="32"/>
        </w:rPr>
        <w:t xml:space="preserve">  </w:t>
      </w:r>
      <w:r>
        <w:rPr>
          <w:rFonts w:hint="eastAsia"/>
          <w:sz w:val="32"/>
          <w:szCs w:val="32"/>
        </w:rPr>
        <w:t>新增：以期房安置被征收人自行过渡的：对于</w:t>
      </w:r>
      <w:r>
        <w:rPr>
          <w:rFonts w:hint="eastAsia"/>
          <w:sz w:val="32"/>
          <w:szCs w:val="32"/>
        </w:rPr>
        <w:t>2013</w:t>
      </w:r>
      <w:r>
        <w:rPr>
          <w:rFonts w:hint="eastAsia"/>
          <w:sz w:val="32"/>
          <w:szCs w:val="32"/>
        </w:rPr>
        <w:t>年</w:t>
      </w:r>
      <w:r>
        <w:rPr>
          <w:rFonts w:hint="eastAsia"/>
          <w:sz w:val="32"/>
          <w:szCs w:val="32"/>
        </w:rPr>
        <w:t>2</w:t>
      </w:r>
      <w:r>
        <w:rPr>
          <w:rFonts w:hint="eastAsia"/>
          <w:sz w:val="32"/>
          <w:szCs w:val="32"/>
        </w:rPr>
        <w:t>月</w:t>
      </w:r>
      <w:r>
        <w:rPr>
          <w:rFonts w:hint="eastAsia"/>
          <w:sz w:val="32"/>
          <w:szCs w:val="32"/>
        </w:rPr>
        <w:t>19</w:t>
      </w:r>
      <w:r>
        <w:rPr>
          <w:rFonts w:hint="eastAsia"/>
          <w:sz w:val="32"/>
          <w:szCs w:val="32"/>
        </w:rPr>
        <w:t>日县政府《关于城市规划区内全面禁止个人建房的通告》发布之前建设的且符合三等砖木以上结构的房屋，在第一时段签约并按期腾出房屋，给予面积折算</w:t>
      </w:r>
      <w:r>
        <w:rPr>
          <w:rFonts w:hint="eastAsia"/>
          <w:sz w:val="32"/>
          <w:szCs w:val="32"/>
        </w:rPr>
        <w:t>50%</w:t>
      </w:r>
      <w:r>
        <w:rPr>
          <w:rFonts w:hint="eastAsia"/>
          <w:sz w:val="32"/>
          <w:szCs w:val="32"/>
        </w:rPr>
        <w:t>奖励的，按折算后面积奖励安置过渡费和搬迁补助费；</w:t>
      </w:r>
    </w:p>
    <w:p w:rsidR="000979F2" w:rsidRDefault="006772A7">
      <w:pPr>
        <w:ind w:firstLineChars="200" w:firstLine="640"/>
        <w:rPr>
          <w:sz w:val="32"/>
          <w:szCs w:val="32"/>
        </w:rPr>
      </w:pPr>
      <w:r>
        <w:rPr>
          <w:rFonts w:hint="eastAsia"/>
          <w:sz w:val="32"/>
          <w:szCs w:val="32"/>
        </w:rPr>
        <w:t>选择货币补偿的，按被认定合法房屋面</w:t>
      </w:r>
      <w:r>
        <w:rPr>
          <w:rFonts w:hint="eastAsia"/>
          <w:sz w:val="32"/>
          <w:szCs w:val="32"/>
        </w:rPr>
        <w:t>积</w:t>
      </w:r>
      <w:r>
        <w:rPr>
          <w:rFonts w:hint="eastAsia"/>
          <w:sz w:val="32"/>
          <w:szCs w:val="32"/>
        </w:rPr>
        <w:t>6</w:t>
      </w:r>
      <w:r>
        <w:rPr>
          <w:rFonts w:hint="eastAsia"/>
          <w:sz w:val="32"/>
          <w:szCs w:val="32"/>
        </w:rPr>
        <w:t>元</w:t>
      </w:r>
      <w:r>
        <w:rPr>
          <w:rFonts w:hint="eastAsia"/>
          <w:sz w:val="32"/>
          <w:szCs w:val="32"/>
        </w:rPr>
        <w:t>/</w:t>
      </w:r>
      <w:r>
        <w:rPr>
          <w:rFonts w:hint="eastAsia"/>
          <w:sz w:val="32"/>
          <w:szCs w:val="32"/>
        </w:rPr>
        <w:t>平方米</w:t>
      </w:r>
      <w:r>
        <w:rPr>
          <w:rFonts w:hint="eastAsia"/>
          <w:sz w:val="32"/>
          <w:szCs w:val="32"/>
        </w:rPr>
        <w:t>*</w:t>
      </w:r>
      <w:r>
        <w:rPr>
          <w:rFonts w:hint="eastAsia"/>
          <w:sz w:val="32"/>
          <w:szCs w:val="32"/>
        </w:rPr>
        <w:t>月计发</w:t>
      </w:r>
      <w:r>
        <w:rPr>
          <w:rFonts w:hint="eastAsia"/>
          <w:sz w:val="32"/>
          <w:szCs w:val="32"/>
        </w:rPr>
        <w:t>1</w:t>
      </w:r>
      <w:r>
        <w:rPr>
          <w:rFonts w:hint="eastAsia"/>
          <w:sz w:val="32"/>
          <w:szCs w:val="32"/>
        </w:rPr>
        <w:t>个月。</w:t>
      </w:r>
    </w:p>
    <w:p w:rsidR="000979F2" w:rsidRDefault="006772A7">
      <w:pPr>
        <w:ind w:firstLineChars="200" w:firstLine="640"/>
        <w:rPr>
          <w:sz w:val="32"/>
          <w:szCs w:val="32"/>
        </w:rPr>
      </w:pPr>
      <w:r>
        <w:rPr>
          <w:rFonts w:hint="eastAsia"/>
          <w:sz w:val="32"/>
          <w:szCs w:val="32"/>
        </w:rPr>
        <w:t>3</w:t>
      </w:r>
      <w:r>
        <w:rPr>
          <w:rFonts w:hint="eastAsia"/>
          <w:sz w:val="32"/>
          <w:szCs w:val="32"/>
        </w:rPr>
        <w:t>、新增第二十八条</w:t>
      </w:r>
      <w:r>
        <w:rPr>
          <w:rFonts w:hint="eastAsia"/>
          <w:sz w:val="32"/>
          <w:szCs w:val="32"/>
        </w:rPr>
        <w:t xml:space="preserve">  </w:t>
      </w:r>
      <w:r>
        <w:rPr>
          <w:rFonts w:hint="eastAsia"/>
          <w:sz w:val="32"/>
          <w:szCs w:val="32"/>
        </w:rPr>
        <w:t>被征收人所有的房屋为三等砖木以上，且全部被认定为违法建筑，经项目实施单位核实本户（含共同居住人员）在萧县城市规划区内无其他住房，在规定期限内积极签订征收补偿安置协议并搬迁腾空交房的，经公示无异议，可以在本项目安置区域内以建筑成本价购买一套安置房，但安置面积不超过</w:t>
      </w:r>
      <w:r>
        <w:rPr>
          <w:rFonts w:hint="eastAsia"/>
          <w:sz w:val="32"/>
          <w:szCs w:val="32"/>
        </w:rPr>
        <w:t>120</w:t>
      </w:r>
      <w:r>
        <w:rPr>
          <w:rFonts w:hint="eastAsia"/>
          <w:sz w:val="32"/>
          <w:szCs w:val="32"/>
        </w:rPr>
        <w:t>㎡。</w:t>
      </w:r>
    </w:p>
    <w:p w:rsidR="000979F2" w:rsidRDefault="006772A7">
      <w:pPr>
        <w:ind w:firstLineChars="200" w:firstLine="640"/>
        <w:rPr>
          <w:sz w:val="32"/>
          <w:szCs w:val="32"/>
        </w:rPr>
      </w:pPr>
      <w:r>
        <w:rPr>
          <w:rFonts w:hint="eastAsia"/>
          <w:sz w:val="32"/>
          <w:szCs w:val="32"/>
        </w:rPr>
        <w:t>4</w:t>
      </w:r>
      <w:r>
        <w:rPr>
          <w:rFonts w:hint="eastAsia"/>
          <w:sz w:val="32"/>
          <w:szCs w:val="32"/>
        </w:rPr>
        <w:t>、新增第三十六条</w:t>
      </w:r>
      <w:r>
        <w:rPr>
          <w:rFonts w:hint="eastAsia"/>
          <w:sz w:val="32"/>
          <w:szCs w:val="32"/>
        </w:rPr>
        <w:t xml:space="preserve">  </w:t>
      </w:r>
      <w:r>
        <w:rPr>
          <w:rFonts w:hint="eastAsia"/>
          <w:sz w:val="32"/>
          <w:szCs w:val="32"/>
        </w:rPr>
        <w:t>为更好的妥善解决城区内个人建房遗留问题，切实维护社会稳定，依据相关法律法规，结合实际情况，对经相关部门鉴定为危旧房屋，并出具危旧房屋鉴定书。由属地街道办事处、乡镇</w:t>
      </w:r>
      <w:r>
        <w:rPr>
          <w:rFonts w:hint="eastAsia"/>
          <w:sz w:val="32"/>
          <w:szCs w:val="32"/>
        </w:rPr>
        <w:t>政府（开发区）调查该房屋为萧县城区规划区范围内唯一住房的，可以申请提前收储</w:t>
      </w:r>
    </w:p>
    <w:p w:rsidR="000979F2" w:rsidRDefault="006772A7">
      <w:pPr>
        <w:ind w:firstLineChars="200" w:firstLine="640"/>
        <w:rPr>
          <w:sz w:val="32"/>
          <w:szCs w:val="32"/>
        </w:rPr>
      </w:pPr>
      <w:r>
        <w:rPr>
          <w:rFonts w:hint="eastAsia"/>
          <w:sz w:val="32"/>
          <w:szCs w:val="32"/>
        </w:rPr>
        <w:t>5</w:t>
      </w:r>
      <w:r>
        <w:rPr>
          <w:rFonts w:hint="eastAsia"/>
          <w:sz w:val="32"/>
          <w:szCs w:val="32"/>
        </w:rPr>
        <w:t>、新增附件二《房屋征收补偿安置流程》</w:t>
      </w:r>
    </w:p>
    <w:p w:rsidR="000979F2" w:rsidRDefault="006772A7">
      <w:pPr>
        <w:ind w:firstLineChars="200" w:firstLine="643"/>
        <w:rPr>
          <w:b/>
          <w:bCs/>
          <w:sz w:val="32"/>
          <w:szCs w:val="32"/>
        </w:rPr>
      </w:pPr>
      <w:r>
        <w:rPr>
          <w:rFonts w:hint="eastAsia"/>
          <w:b/>
          <w:bCs/>
          <w:sz w:val="32"/>
          <w:szCs w:val="32"/>
        </w:rPr>
        <w:t>（二）调整内容</w:t>
      </w:r>
    </w:p>
    <w:p w:rsidR="000979F2" w:rsidRDefault="006772A7">
      <w:pPr>
        <w:ind w:firstLineChars="200" w:firstLine="640"/>
        <w:rPr>
          <w:sz w:val="32"/>
          <w:szCs w:val="32"/>
        </w:rPr>
      </w:pPr>
      <w:r>
        <w:rPr>
          <w:rFonts w:hint="eastAsia"/>
          <w:sz w:val="32"/>
          <w:szCs w:val="32"/>
        </w:rPr>
        <w:t>附件一第八条</w:t>
      </w:r>
      <w:r>
        <w:rPr>
          <w:rFonts w:hint="eastAsia"/>
          <w:sz w:val="32"/>
          <w:szCs w:val="32"/>
        </w:rPr>
        <w:t xml:space="preserve">  </w:t>
      </w:r>
      <w:r>
        <w:rPr>
          <w:rFonts w:hint="eastAsia"/>
          <w:sz w:val="32"/>
          <w:szCs w:val="32"/>
        </w:rPr>
        <w:t>房地产价格评估机构实行备选制，调整</w:t>
      </w:r>
      <w:r>
        <w:rPr>
          <w:rFonts w:hint="eastAsia"/>
          <w:sz w:val="32"/>
          <w:szCs w:val="32"/>
        </w:rPr>
        <w:lastRenderedPageBreak/>
        <w:t>为房屋征收部门应该通过公平竞争的方式选定三家评估机构，交由项目所在街道办事处、乡镇人民政府（开发区）进行推选，委托评估机构规范开展评估工作。评估机构对其出具的评估结果的真实性、准确性、合法性负法律责任。</w:t>
      </w:r>
    </w:p>
    <w:p w:rsidR="000979F2" w:rsidRDefault="006772A7">
      <w:pPr>
        <w:ind w:firstLineChars="200" w:firstLine="640"/>
        <w:rPr>
          <w:sz w:val="32"/>
          <w:szCs w:val="32"/>
        </w:rPr>
      </w:pPr>
      <w:r>
        <w:rPr>
          <w:rFonts w:hint="eastAsia"/>
          <w:sz w:val="32"/>
          <w:szCs w:val="32"/>
        </w:rPr>
        <w:t>附件一第二十三条</w:t>
      </w:r>
      <w:r>
        <w:rPr>
          <w:rFonts w:hint="eastAsia"/>
          <w:sz w:val="32"/>
          <w:szCs w:val="32"/>
        </w:rPr>
        <w:t xml:space="preserve">  </w:t>
      </w:r>
      <w:r>
        <w:rPr>
          <w:rFonts w:hint="eastAsia"/>
          <w:sz w:val="32"/>
          <w:szCs w:val="32"/>
        </w:rPr>
        <w:t>调整为被征收房屋建设手续齐全且位于县住建局专项规划道路上的沿街底层房屋（住改商）确属历史形成的，应当根据房</w:t>
      </w:r>
      <w:r>
        <w:rPr>
          <w:rFonts w:hint="eastAsia"/>
          <w:sz w:val="32"/>
          <w:szCs w:val="32"/>
        </w:rPr>
        <w:t>屋证照记载的用途，由评估机构按照市场评估法计算，予以货币补偿。房屋征收范围确定时闲置的非住宅房屋，不给予停产停业损失补偿。</w:t>
      </w:r>
      <w:r>
        <w:rPr>
          <w:rFonts w:hint="eastAsia"/>
          <w:sz w:val="32"/>
          <w:szCs w:val="32"/>
        </w:rPr>
        <w:t xml:space="preserve"> </w:t>
      </w:r>
    </w:p>
    <w:sectPr w:rsidR="000979F2" w:rsidSect="000979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72A7" w:rsidRDefault="006772A7" w:rsidP="007E2EFA">
      <w:r>
        <w:separator/>
      </w:r>
    </w:p>
  </w:endnote>
  <w:endnote w:type="continuationSeparator" w:id="1">
    <w:p w:rsidR="006772A7" w:rsidRDefault="006772A7" w:rsidP="007E2E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SimSun">
    <w:altName w:val="Times New Roman"/>
    <w:panose1 w:val="00000000000000000000"/>
    <w:charset w:val="00"/>
    <w:family w:val="roman"/>
    <w:notTrueType/>
    <w:pitch w:val="default"/>
    <w:sig w:usb0="00000000" w:usb1="00000000" w:usb2="00000000" w:usb3="00000000" w:csb0="00000000" w:csb1="00000000"/>
  </w:font>
  <w:font w:name="FangSong_GB2312">
    <w:panose1 w:val="02010609060101010101"/>
    <w:charset w:val="00"/>
    <w:family w:val="roman"/>
    <w:notTrueType/>
    <w:pitch w:val="default"/>
    <w:sig w:usb0="00000000" w:usb1="00000000" w:usb2="00000000" w:usb3="00000000" w:csb0="0000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72A7" w:rsidRDefault="006772A7" w:rsidP="007E2EFA">
      <w:r>
        <w:separator/>
      </w:r>
    </w:p>
  </w:footnote>
  <w:footnote w:type="continuationSeparator" w:id="1">
    <w:p w:rsidR="006772A7" w:rsidRDefault="006772A7" w:rsidP="007E2E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JiZmU3ZThjY2M2NGFlMzhmODI5ZmNjY2ExYTNkNWIifQ=="/>
  </w:docVars>
  <w:rsids>
    <w:rsidRoot w:val="000979F2"/>
    <w:rsid w:val="00076791"/>
    <w:rsid w:val="000979F2"/>
    <w:rsid w:val="006772A7"/>
    <w:rsid w:val="007E2EFA"/>
    <w:rsid w:val="047C599F"/>
    <w:rsid w:val="048D195A"/>
    <w:rsid w:val="05E42C8C"/>
    <w:rsid w:val="09D4268B"/>
    <w:rsid w:val="0CA62265"/>
    <w:rsid w:val="14D86EED"/>
    <w:rsid w:val="16DB2B04"/>
    <w:rsid w:val="170B4961"/>
    <w:rsid w:val="1A734CF7"/>
    <w:rsid w:val="1B122762"/>
    <w:rsid w:val="264D0837"/>
    <w:rsid w:val="357A11D7"/>
    <w:rsid w:val="36174C78"/>
    <w:rsid w:val="37166CDE"/>
    <w:rsid w:val="40D043A1"/>
    <w:rsid w:val="5EF86B45"/>
    <w:rsid w:val="618D5C6B"/>
    <w:rsid w:val="64E262CE"/>
    <w:rsid w:val="72AE278C"/>
    <w:rsid w:val="7A9D6A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979F2"/>
    <w:pPr>
      <w:widowControl w:val="0"/>
      <w:jc w:val="both"/>
    </w:pPr>
    <w:rPr>
      <w:rFonts w:asciiTheme="minorHAnsi" w:hAnsiTheme="minorHAnsi" w:cstheme="minorBidi"/>
      <w:kern w:val="2"/>
      <w:sz w:val="21"/>
      <w:szCs w:val="24"/>
    </w:rPr>
  </w:style>
  <w:style w:type="paragraph" w:styleId="1">
    <w:name w:val="heading 1"/>
    <w:basedOn w:val="a"/>
    <w:next w:val="a"/>
    <w:qFormat/>
    <w:rsid w:val="000979F2"/>
    <w:pPr>
      <w:spacing w:beforeAutospacing="1" w:afterAutospacing="1"/>
      <w:jc w:val="left"/>
      <w:outlineLvl w:val="0"/>
    </w:pPr>
    <w:rPr>
      <w:rFonts w:ascii="SimSun" w:eastAsia="SimSun" w:hAnsi="SimSun" w:cs="Times New Roman"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
    <w:qFormat/>
    <w:rsid w:val="000979F2"/>
    <w:pPr>
      <w:ind w:firstLineChars="100" w:firstLine="420"/>
    </w:pPr>
  </w:style>
  <w:style w:type="paragraph" w:styleId="a4">
    <w:name w:val="Body Text"/>
    <w:basedOn w:val="a"/>
    <w:qFormat/>
    <w:rsid w:val="000979F2"/>
    <w:pPr>
      <w:spacing w:after="120"/>
    </w:pPr>
  </w:style>
  <w:style w:type="paragraph" w:styleId="2">
    <w:name w:val="Body Text First Indent 2"/>
    <w:basedOn w:val="a5"/>
    <w:qFormat/>
    <w:rsid w:val="000979F2"/>
    <w:pPr>
      <w:spacing w:after="0" w:line="560" w:lineRule="exact"/>
      <w:ind w:leftChars="0" w:left="0" w:firstLineChars="200" w:firstLine="420"/>
    </w:pPr>
    <w:rPr>
      <w:rFonts w:ascii="FangSong_GB2312" w:eastAsia="FangSong_GB2312"/>
      <w:sz w:val="30"/>
      <w:szCs w:val="30"/>
    </w:rPr>
  </w:style>
  <w:style w:type="paragraph" w:styleId="a5">
    <w:name w:val="Body Text Indent"/>
    <w:basedOn w:val="a"/>
    <w:qFormat/>
    <w:rsid w:val="000979F2"/>
    <w:pPr>
      <w:spacing w:after="120"/>
      <w:ind w:leftChars="200" w:left="420"/>
    </w:pPr>
  </w:style>
  <w:style w:type="paragraph" w:styleId="a6">
    <w:name w:val="Normal (Web)"/>
    <w:basedOn w:val="a"/>
    <w:qFormat/>
    <w:rsid w:val="000979F2"/>
    <w:pPr>
      <w:spacing w:beforeAutospacing="1" w:afterAutospacing="1"/>
      <w:jc w:val="left"/>
    </w:pPr>
    <w:rPr>
      <w:rFonts w:cs="Times New Roman"/>
      <w:kern w:val="0"/>
      <w:sz w:val="24"/>
    </w:rPr>
  </w:style>
  <w:style w:type="character" w:styleId="a7">
    <w:name w:val="Hyperlink"/>
    <w:basedOn w:val="a1"/>
    <w:qFormat/>
    <w:rsid w:val="000979F2"/>
    <w:rPr>
      <w:color w:val="0000FF"/>
      <w:u w:val="single"/>
    </w:rPr>
  </w:style>
  <w:style w:type="paragraph" w:customStyle="1" w:styleId="p0">
    <w:name w:val="p0"/>
    <w:basedOn w:val="a"/>
    <w:qFormat/>
    <w:rsid w:val="000979F2"/>
    <w:pPr>
      <w:widowControl/>
      <w:ind w:firstLine="420"/>
      <w:jc w:val="left"/>
    </w:pPr>
    <w:rPr>
      <w:kern w:val="0"/>
      <w:sz w:val="20"/>
      <w:szCs w:val="20"/>
    </w:rPr>
  </w:style>
  <w:style w:type="paragraph" w:styleId="a8">
    <w:name w:val="header"/>
    <w:basedOn w:val="a"/>
    <w:link w:val="Char"/>
    <w:rsid w:val="007E2E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8"/>
    <w:rsid w:val="007E2EFA"/>
    <w:rPr>
      <w:rFonts w:asciiTheme="minorHAnsi" w:hAnsiTheme="minorHAnsi" w:cstheme="minorBidi"/>
      <w:kern w:val="2"/>
      <w:sz w:val="18"/>
      <w:szCs w:val="18"/>
    </w:rPr>
  </w:style>
  <w:style w:type="paragraph" w:styleId="a9">
    <w:name w:val="footer"/>
    <w:basedOn w:val="a"/>
    <w:link w:val="Char0"/>
    <w:rsid w:val="007E2EFA"/>
    <w:pPr>
      <w:tabs>
        <w:tab w:val="center" w:pos="4153"/>
        <w:tab w:val="right" w:pos="8306"/>
      </w:tabs>
      <w:snapToGrid w:val="0"/>
      <w:jc w:val="left"/>
    </w:pPr>
    <w:rPr>
      <w:sz w:val="18"/>
      <w:szCs w:val="18"/>
    </w:rPr>
  </w:style>
  <w:style w:type="character" w:customStyle="1" w:styleId="Char0">
    <w:name w:val="页脚 Char"/>
    <w:basedOn w:val="a1"/>
    <w:link w:val="a9"/>
    <w:rsid w:val="007E2EFA"/>
    <w:rPr>
      <w:rFonts w:asciiTheme="minorHAnsi"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257</Words>
  <Characters>1468</Characters>
  <Application>Microsoft Office Word</Application>
  <DocSecurity>0</DocSecurity>
  <Lines>12</Lines>
  <Paragraphs>3</Paragraphs>
  <ScaleCrop>false</ScaleCrop>
  <Company>China</Company>
  <LinksUpToDate>false</LinksUpToDate>
  <CharactersWithSpaces>1722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王继刚</cp:lastModifiedBy>
  <cp:revision>3</cp:revision>
  <dcterms:created xsi:type="dcterms:W3CDTF">2024-07-01T02:03:00Z</dcterms:created>
  <dcterms:modified xsi:type="dcterms:W3CDTF">2024-07-01T08:49:00Z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EE13462C9C964146BA84ECEF5315B1FC_12</vt:lpwstr>
  </property>
</Properties>
</file>